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C6" w:rsidRDefault="00FE5EC6" w:rsidP="00FE5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6BD8">
        <w:rPr>
          <w:rFonts w:ascii="Times New Roman" w:hAnsi="Times New Roman" w:cs="Times New Roman"/>
          <w:b/>
          <w:sz w:val="28"/>
          <w:szCs w:val="28"/>
        </w:rPr>
        <w:t xml:space="preserve">Результаты опроса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Pr="00826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FE5EC6" w:rsidRPr="00826BD8" w:rsidRDefault="00FE5EC6" w:rsidP="00FE5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8">
        <w:rPr>
          <w:rFonts w:ascii="Times New Roman" w:hAnsi="Times New Roman" w:cs="Times New Roman"/>
          <w:b/>
          <w:sz w:val="28"/>
          <w:szCs w:val="28"/>
        </w:rPr>
        <w:t>ГБПОУ «Конаковский колледж»  по итогам 2022-2023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FE5EC6">
        <w:rPr>
          <w:rFonts w:ascii="Times New Roman" w:hAnsi="Times New Roman" w:cs="Times New Roman"/>
          <w:b/>
          <w:sz w:val="28"/>
          <w:szCs w:val="28"/>
        </w:rPr>
        <w:t xml:space="preserve">б удовлетворенности условиями и организацией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в колледже»</w:t>
      </w:r>
    </w:p>
    <w:p w:rsidR="005376E8" w:rsidRPr="009E0AD4" w:rsidRDefault="00FE5EC6" w:rsidP="009E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AD4">
        <w:rPr>
          <w:rFonts w:ascii="Times New Roman" w:hAnsi="Times New Roman" w:cs="Times New Roman"/>
          <w:sz w:val="24"/>
          <w:szCs w:val="24"/>
        </w:rPr>
        <w:t>В опросе приняло участие 18 штатных педагогических работников из 23, что составляет 78%.  Педагогическим работникам было предложено 15 показателей, каждый из которых нужно было оценить по шкале:  5- отлично, 4- хорошо, 3- удовлетворительно, 2- плохо, 1- очень плохо.</w:t>
      </w:r>
    </w:p>
    <w:p w:rsidR="00FE5EC6" w:rsidRPr="009E0AD4" w:rsidRDefault="00FE5EC6" w:rsidP="009E0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AD4">
        <w:rPr>
          <w:rFonts w:ascii="Times New Roman" w:hAnsi="Times New Roman" w:cs="Times New Roman"/>
          <w:sz w:val="24"/>
          <w:szCs w:val="24"/>
        </w:rPr>
        <w:t>Далее по каждому параметру было выведена средняя оценка, итоги представлены на рис. 1</w:t>
      </w:r>
    </w:p>
    <w:p w:rsidR="00FE5EC6" w:rsidRDefault="00FE5EC6">
      <w:r>
        <w:t xml:space="preserve"> </w:t>
      </w:r>
      <w:r w:rsidRPr="00FE5EC6">
        <w:rPr>
          <w:noProof/>
          <w:lang w:eastAsia="ru-RU"/>
        </w:rPr>
        <w:drawing>
          <wp:inline distT="0" distB="0" distL="0" distR="0">
            <wp:extent cx="7134225" cy="5438775"/>
            <wp:effectExtent l="19050" t="0" r="9525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5EC6" w:rsidRPr="009E0AD4" w:rsidRDefault="009E0AD4" w:rsidP="009E0A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E0AD4">
        <w:rPr>
          <w:rFonts w:ascii="Times New Roman" w:hAnsi="Times New Roman" w:cs="Times New Roman"/>
        </w:rPr>
        <w:t>Рис. 1 Результаты удовлетворенности педагогических работников ГБПОУ «Конаковский колледж» условиями  труда и организацией образовательного процесса» .</w:t>
      </w:r>
    </w:p>
    <w:p w:rsidR="009E0AD4" w:rsidRDefault="009E0AD4" w:rsidP="009E0A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E0AD4">
        <w:rPr>
          <w:rFonts w:ascii="Times New Roman" w:hAnsi="Times New Roman" w:cs="Times New Roman"/>
        </w:rPr>
        <w:t xml:space="preserve">Из проведенного опроса видно, что наибольшую оценку получили следующие показатели: возможность повышения квалификации, возможность саморазвития и самореализации, расписание занятий, работа учебной части, обеспеченность канцелярскими принадлежностями, система материального и морального стимулирования.  В наименьшей степени работники удовлетворены размером заработной платы и обеспеченностью компьютерной и оргтехникой. </w:t>
      </w:r>
    </w:p>
    <w:p w:rsidR="009E0AD4" w:rsidRDefault="009E0AD4" w:rsidP="009E0AD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Выводы: колледжу следует изыскать возможности в обновлении компьютерного парка в 2023-2024 учебном году. </w:t>
      </w:r>
    </w:p>
    <w:p w:rsidR="009E0AD4" w:rsidRDefault="009E0AD4" w:rsidP="009E0AD4">
      <w:pPr>
        <w:rPr>
          <w:rFonts w:ascii="Times New Roman" w:hAnsi="Times New Roman" w:cs="Times New Roman"/>
        </w:rPr>
      </w:pPr>
    </w:p>
    <w:p w:rsidR="009E0AD4" w:rsidRPr="009E0AD4" w:rsidRDefault="009E0AD4" w:rsidP="009E0AD4">
      <w:pPr>
        <w:tabs>
          <w:tab w:val="left" w:pos="1080"/>
          <w:tab w:val="left" w:pos="8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Директор ГБПОУ «Конаковский колледж» </w:t>
      </w:r>
      <w:r>
        <w:rPr>
          <w:rFonts w:ascii="Times New Roman" w:hAnsi="Times New Roman" w:cs="Times New Roman"/>
        </w:rPr>
        <w:tab/>
        <w:t>Лупина М. А.</w:t>
      </w:r>
    </w:p>
    <w:sectPr w:rsidR="009E0AD4" w:rsidRPr="009E0AD4" w:rsidSect="00FE5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EC6"/>
    <w:rsid w:val="005376E8"/>
    <w:rsid w:val="009E0AD4"/>
    <w:rsid w:val="00E0026C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Desktop\&#1040;&#1085;&#1082;&#1077;&#1090;&#1072;%20&#1087;&#1088;&#1077;&#1087;&#1086;&#1076;&#1072;&#1074;&#1072;&#1090;&#1077;&#1083;&#1077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299521041022897"/>
          <c:y val="0.1351960208657122"/>
          <c:w val="0.5112611390865861"/>
          <c:h val="0.8176346275681059"/>
        </c:manualLayout>
      </c:layout>
      <c:radarChart>
        <c:radarStyle val="marker"/>
        <c:varyColors val="0"/>
        <c:ser>
          <c:idx val="0"/>
          <c:order val="0"/>
          <c:cat>
            <c:strRef>
              <c:f>преподаватели!$B$23:$B$37</c:f>
              <c:strCache>
                <c:ptCount val="15"/>
                <c:pt idx="0">
                  <c:v>Общая организация учебного процесса</c:v>
                </c:pt>
                <c:pt idx="1">
                  <c:v>Расписание занятий</c:v>
                </c:pt>
                <c:pt idx="2">
                  <c:v>Внедрение новых методов обучения в колледже</c:v>
                </c:pt>
                <c:pt idx="3">
                  <c:v>Удовлетворенность работой учебной части</c:v>
                </c:pt>
                <c:pt idx="4">
                  <c:v>Обеспеченность компьютерной и орг.техникой</c:v>
                </c:pt>
                <c:pt idx="5">
                  <c:v>Оснащенность рабочего места</c:v>
                </c:pt>
                <c:pt idx="6">
                  <c:v>Доступность интернета</c:v>
                </c:pt>
                <c:pt idx="7">
                  <c:v>Обеспеченность канцелярскими товарами</c:v>
                </c:pt>
                <c:pt idx="8">
                  <c:v>Размер заработной платы</c:v>
                </c:pt>
                <c:pt idx="9">
                  <c:v>Перспектива должностного роста</c:v>
                </c:pt>
                <c:pt idx="10">
                  <c:v>Состояние морально-психологического климата в коллективе</c:v>
                </c:pt>
                <c:pt idx="11">
                  <c:v>Режим работы</c:v>
                </c:pt>
                <c:pt idx="12">
                  <c:v>Повышение квалификации</c:v>
                </c:pt>
                <c:pt idx="13">
                  <c:v>Система материального и морального стимулирования и поощрения</c:v>
                </c:pt>
                <c:pt idx="14">
                  <c:v>Возможность к саморазвитию и самореализации</c:v>
                </c:pt>
              </c:strCache>
            </c:strRef>
          </c:cat>
          <c:val>
            <c:numRef>
              <c:f>преподаватели!$C$23:$C$37</c:f>
              <c:numCache>
                <c:formatCode>0.00</c:formatCode>
                <c:ptCount val="15"/>
                <c:pt idx="0">
                  <c:v>4.4400000000000004</c:v>
                </c:pt>
                <c:pt idx="1">
                  <c:v>4.72</c:v>
                </c:pt>
                <c:pt idx="2">
                  <c:v>4</c:v>
                </c:pt>
                <c:pt idx="3" formatCode="General">
                  <c:v>4.3899999999999997</c:v>
                </c:pt>
                <c:pt idx="4" formatCode="General">
                  <c:v>3.22</c:v>
                </c:pt>
                <c:pt idx="5" formatCode="General">
                  <c:v>3.94</c:v>
                </c:pt>
                <c:pt idx="6" formatCode="General">
                  <c:v>4.1099999999999994</c:v>
                </c:pt>
                <c:pt idx="7" formatCode="General">
                  <c:v>4.3899999999999997</c:v>
                </c:pt>
                <c:pt idx="8" formatCode="General">
                  <c:v>3.3899999999999997</c:v>
                </c:pt>
                <c:pt idx="9" formatCode="General">
                  <c:v>3.94</c:v>
                </c:pt>
                <c:pt idx="10" formatCode="General">
                  <c:v>3.7800000000000002</c:v>
                </c:pt>
                <c:pt idx="11" formatCode="General">
                  <c:v>4.1099999999999994</c:v>
                </c:pt>
                <c:pt idx="12" formatCode="General">
                  <c:v>4.72</c:v>
                </c:pt>
                <c:pt idx="13" formatCode="General">
                  <c:v>4.33</c:v>
                </c:pt>
                <c:pt idx="14" formatCode="General">
                  <c:v>4.6099999999999994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745344"/>
        <c:axId val="96746880"/>
      </c:radarChart>
      <c:catAx>
        <c:axId val="96745344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96746880"/>
        <c:crosses val="autoZero"/>
        <c:auto val="1"/>
        <c:lblAlgn val="ctr"/>
        <c:lblOffset val="100"/>
        <c:noMultiLvlLbl val="0"/>
      </c:catAx>
      <c:valAx>
        <c:axId val="96746880"/>
        <c:scaling>
          <c:orientation val="minMax"/>
        </c:scaling>
        <c:delete val="0"/>
        <c:axPos val="l"/>
        <c:majorGridlines/>
        <c:numFmt formatCode="0.00" sourceLinked="1"/>
        <c:majorTickMark val="cross"/>
        <c:minorTickMark val="none"/>
        <c:tickLblPos val="nextTo"/>
        <c:crossAx val="96745344"/>
        <c:crosses val="autoZero"/>
        <c:crossBetween val="between"/>
        <c:majorUnit val="1"/>
      </c:valAx>
    </c:plotArea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Dred</cp:lastModifiedBy>
  <cp:revision>2</cp:revision>
  <dcterms:created xsi:type="dcterms:W3CDTF">2023-10-24T18:04:00Z</dcterms:created>
  <dcterms:modified xsi:type="dcterms:W3CDTF">2023-10-24T18:04:00Z</dcterms:modified>
</cp:coreProperties>
</file>